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5AC6F9B8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EE4033">
        <w:rPr>
          <w:rFonts w:ascii="Times New Roman" w:hAnsi="Times New Roman" w:cs="Times New Roman"/>
          <w:sz w:val="28"/>
          <w:szCs w:val="28"/>
        </w:rPr>
        <w:t>ю</w:t>
      </w:r>
      <w:r w:rsidR="00DF4E8D">
        <w:rPr>
          <w:rFonts w:ascii="Times New Roman" w:hAnsi="Times New Roman" w:cs="Times New Roman"/>
          <w:sz w:val="28"/>
          <w:szCs w:val="28"/>
        </w:rPr>
        <w:t>чения договора аренды 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F47BC9">
        <w:rPr>
          <w:rFonts w:ascii="Times New Roman" w:hAnsi="Times New Roman" w:cs="Times New Roman"/>
          <w:sz w:val="28"/>
          <w:szCs w:val="28"/>
        </w:rPr>
        <w:t>28.02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C044E7">
        <w:rPr>
          <w:rFonts w:ascii="Times New Roman" w:hAnsi="Times New Roman" w:cs="Times New Roman"/>
          <w:sz w:val="28"/>
          <w:szCs w:val="28"/>
        </w:rPr>
        <w:t>2025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617CBDD5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</w:t>
      </w:r>
      <w:r w:rsidR="009F681B">
        <w:rPr>
          <w:sz w:val="28"/>
          <w:szCs w:val="28"/>
        </w:rPr>
        <w:t xml:space="preserve">: </w:t>
      </w:r>
      <w:r w:rsidR="007E0465">
        <w:rPr>
          <w:sz w:val="28"/>
          <w:szCs w:val="28"/>
        </w:rPr>
        <w:t>распоряжения</w:t>
      </w:r>
      <w:r w:rsidR="00DF4E8D" w:rsidRPr="00DF4E8D">
        <w:rPr>
          <w:sz w:val="28"/>
          <w:szCs w:val="28"/>
        </w:rPr>
        <w:t xml:space="preserve"> комитета имущественных отношений администрации Пермского муниц</w:t>
      </w:r>
      <w:r w:rsidR="009F681B">
        <w:rPr>
          <w:sz w:val="28"/>
          <w:szCs w:val="28"/>
        </w:rPr>
        <w:t>ипального округа Пермского края</w:t>
      </w:r>
      <w:r w:rsidR="007E0465">
        <w:rPr>
          <w:sz w:val="28"/>
          <w:szCs w:val="28"/>
        </w:rPr>
        <w:t xml:space="preserve"> </w:t>
      </w:r>
      <w:r w:rsidR="00F47BC9">
        <w:rPr>
          <w:sz w:val="28"/>
          <w:szCs w:val="28"/>
        </w:rPr>
        <w:t>(</w:t>
      </w:r>
      <w:r w:rsidR="007E0465">
        <w:rPr>
          <w:sz w:val="28"/>
          <w:szCs w:val="28"/>
        </w:rPr>
        <w:t xml:space="preserve">по лоту № </w:t>
      </w:r>
      <w:r w:rsidR="00F47BC9">
        <w:rPr>
          <w:sz w:val="28"/>
          <w:szCs w:val="28"/>
        </w:rPr>
        <w:t>1</w:t>
      </w:r>
      <w:r w:rsidR="007E0465">
        <w:rPr>
          <w:sz w:val="28"/>
          <w:szCs w:val="28"/>
        </w:rPr>
        <w:t xml:space="preserve"> – распоряжение от </w:t>
      </w:r>
      <w:r w:rsidR="007E0465" w:rsidRPr="007E0465">
        <w:rPr>
          <w:sz w:val="28"/>
          <w:szCs w:val="28"/>
        </w:rPr>
        <w:t>04.09.2024 № 2917</w:t>
      </w:r>
      <w:r w:rsidR="0084569D">
        <w:rPr>
          <w:sz w:val="28"/>
          <w:szCs w:val="28"/>
        </w:rPr>
        <w:t xml:space="preserve">, по лоту № </w:t>
      </w:r>
      <w:r w:rsidR="00F47BC9">
        <w:rPr>
          <w:sz w:val="28"/>
          <w:szCs w:val="28"/>
        </w:rPr>
        <w:t>2</w:t>
      </w:r>
      <w:r w:rsidR="0084569D">
        <w:rPr>
          <w:sz w:val="28"/>
          <w:szCs w:val="28"/>
        </w:rPr>
        <w:t xml:space="preserve"> -</w:t>
      </w:r>
      <w:r w:rsidR="0084569D" w:rsidRPr="0084569D">
        <w:rPr>
          <w:sz w:val="28"/>
          <w:szCs w:val="28"/>
        </w:rPr>
        <w:t xml:space="preserve"> </w:t>
      </w:r>
      <w:r w:rsidR="00C97D25" w:rsidRPr="00C97D25">
        <w:rPr>
          <w:sz w:val="28"/>
          <w:szCs w:val="28"/>
        </w:rPr>
        <w:t xml:space="preserve">распоряжение </w:t>
      </w:r>
      <w:r w:rsidR="0084569D">
        <w:rPr>
          <w:sz w:val="28"/>
          <w:szCs w:val="28"/>
        </w:rPr>
        <w:t>от 05.09.2024 № 2943)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7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E3C250" w14:textId="2B61B022" w:rsidR="007E0465" w:rsidRPr="00A66462" w:rsidRDefault="007E0465" w:rsidP="008456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Лот № </w:t>
      </w:r>
      <w:r w:rsidR="00F47BC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1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1000 </w:t>
      </w:r>
      <w:proofErr w:type="spellStart"/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объекты дорожного сервиса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Пермский муниципальный округ, п. Юго-Камский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ов. Кадастровый номер: 59:32:0100009:14398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Срок аренды 2 года 6 месяцев. Обременения, зоны с особыми условиями использования земельного участка: отсутствуют.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величины годовой арендной платы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50 700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пятьдесят тысяч семьсот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P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50 700,00 (пятьдесят тысяч семьсот) рублей 00 коп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4FA24776" w14:textId="77777777" w:rsidR="007E0465" w:rsidRPr="00020183" w:rsidRDefault="007E0465" w:rsidP="007E04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Территориальная зона: П-5 «</w:t>
      </w:r>
      <w:r w:rsidRP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Зона производственных объектов V класса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опасности»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Параметры разрешенного строительства объектов капитального строительства в зоне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П-5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Предельное количество этажей: не подлежит 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подлежит установлению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зданий, строений, сооружений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Pr="00FA1E69">
        <w:t xml:space="preserve"> </w:t>
      </w:r>
      <w:r w:rsidRP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подлежит установлению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Подготовлен градостроительный план земельного участка в электронном виде.</w:t>
      </w:r>
    </w:p>
    <w:p w14:paraId="1F9C4FE3" w14:textId="2D4720DC" w:rsidR="007E0465" w:rsidRDefault="007E0465" w:rsidP="007E04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 газораспределение Пермь» филиал в Пермском районе от 05.08.2024 № ПР-3238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Возможная точка подключения: газопровод высокого давления 2 категории по ул. 3-я Пятилетка (собственник – АО </w:t>
      </w:r>
      <w:r w:rsidRP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азпром газораспределение Пермь»). Ориентировочное расстояние от точки подключения до границы участка составляет 2 м. 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Согласно письму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МУП «Энергоснабжение Пермского муниципального округа»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 25.07.2024 № СЭД-2024-299-01-02исх1108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возможность подключения к централизованным системам теплоснабжения отсутствует. ПАО </w:t>
      </w:r>
      <w:r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proofErr w:type="spellStart"/>
      <w:r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имеет техническую возможность технологического присоединения к электрическим сетям. (письмо от 26.07.2024 № ПЭ/ЦЭС/01/22/10139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письму ПАО «Ростелеком» от 24.07.2024 № 01/05/106510/24 технологическое присоединение к сетям связи ПАО «Ростелеком» имеется. Технологическое присоединение может быть произведено в точке подключения узел ВОЛС (п. Юго-Камский, ул. Советская, д. 120), максимальную нагрузку в точке подключения (технологического присоединения) определить на стадии проектирования.</w:t>
      </w:r>
    </w:p>
    <w:p w14:paraId="4FF203AE" w14:textId="1528F184" w:rsidR="002A57E7" w:rsidRPr="00A66462" w:rsidRDefault="002A57E7" w:rsidP="008456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Лот № </w:t>
      </w:r>
      <w:r w:rsidR="00F47BC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18 858 </w:t>
      </w:r>
      <w:proofErr w:type="spellStart"/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отдых (рекреация)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Пермский муниципальный округ, п. Сылва, ул. Свердлова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Pr="006001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з/у 118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категория земель: земли населенных 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ов. Кадастровый номер: 59:32:0050027:16919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Срок аренды 4 года 10 месяцев. Земельный участок полностью расположен в зоне 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санитарной охраны поверхностного источника водоснабжения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–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Новолядовского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водозабора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(II, 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пояса), частично – в водоохранной зоне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прибрежной защитной полосе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Камского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водохранилища (17 352,69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величины годовой арендной платы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683 100,00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шестьсот восемьдесят три тысячи сто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683 100,00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шестьсот восемьдесят три тысячи сто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коп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2840567" w14:textId="77777777" w:rsidR="002A57E7" w:rsidRPr="00020183" w:rsidRDefault="002A57E7" w:rsidP="002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Р-2 «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Зона объектов санаторно-курортного лечения,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отдыха, туризма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Параметры разрешенного строительства объектов капитального строительства в зоне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Р-2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Предельное количество этажей: Не подлежит 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80%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 м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Подготовлен градостроительный план земельного участка в электронном виде.</w:t>
      </w:r>
    </w:p>
    <w:p w14:paraId="6DCFF610" w14:textId="3C7A1C87" w:rsidR="002A57E7" w:rsidRDefault="002A57E7" w:rsidP="002A57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м газораспределение Пермь» филиал в Пермском районе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15.11.2023 № ПР-4659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Возможная точка подключения: газопровод высокого давления 2 категории по ул.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Сылвенский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тракт (собственник – АО </w:t>
      </w:r>
      <w:r w:rsidRP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азпром газораспределение Пермь»). Ориентировочное расстояние от точки подключения до границы участка составляет 4073 м. 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Согласно письму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МУП «Энергоснабжение Пермского муниципального округа»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16.11.2023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СЭД-2023-299-01-02исх-854 возможность подключения к централизованным системам водоснабжения и водоотведения п. Сылва отсутствует. В настоящее время у ПАО </w:t>
      </w:r>
      <w:r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proofErr w:type="spellStart"/>
      <w:r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отсутствует техническая возможность подключения к сетям электроснабжения. Для ее обеспечения необходимо предусмотреть строительство электросетевых объектов (письмо от 13.11.2023 № ПЭ/ЦЭС/01/22/11078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BF42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Согласно письму ПАО «Ростелеком» от 10.09.2024 № 01/05/134123/24 технологическое присоединение к сетям связи ПАО «Ростелеком» имеется. Технологическое присоединение может быть произведено в точке подключения узел ВОЛС (п. Сылва, пер. Заводской, д. 17), максимальную нагрузку в точке подключения (технологического присоединения) определить на стадии проектирования.</w:t>
      </w:r>
      <w:r w:rsidRPr="00BF4215">
        <w:t xml:space="preserve"> </w:t>
      </w:r>
      <w:r w:rsidRPr="00BF42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</w:p>
    <w:p w14:paraId="5642BFA6" w14:textId="77777777" w:rsidR="003B5888" w:rsidRDefault="003B5888" w:rsidP="0003230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20636C6C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A1180A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sz w:val="28"/>
          <w:szCs w:val="28"/>
        </w:rPr>
        <w:lastRenderedPageBreak/>
        <w:t>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42A2FFFD" w14:textId="77777777" w:rsidR="002A57E7" w:rsidRDefault="002A57E7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90E27" w14:textId="33CC609C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>4. Сроки, время подачи заявок и проведения аукциона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561DB8AB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F47BC9">
        <w:rPr>
          <w:rFonts w:ascii="Times New Roman" w:hAnsi="Times New Roman" w:cs="Times New Roman"/>
          <w:sz w:val="28"/>
          <w:szCs w:val="28"/>
        </w:rPr>
        <w:t>23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F47BC9">
        <w:rPr>
          <w:rFonts w:ascii="Times New Roman" w:hAnsi="Times New Roman" w:cs="Times New Roman"/>
          <w:sz w:val="28"/>
          <w:szCs w:val="28"/>
        </w:rPr>
        <w:t>января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477CF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67030681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F47BC9">
        <w:rPr>
          <w:rFonts w:ascii="Times New Roman" w:hAnsi="Times New Roman" w:cs="Times New Roman"/>
          <w:sz w:val="28"/>
          <w:szCs w:val="28"/>
        </w:rPr>
        <w:t>24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F47BC9">
        <w:rPr>
          <w:rFonts w:ascii="Times New Roman" w:hAnsi="Times New Roman" w:cs="Times New Roman"/>
          <w:sz w:val="28"/>
          <w:szCs w:val="28"/>
        </w:rPr>
        <w:t>февраля</w:t>
      </w:r>
      <w:r w:rsidR="00EB56FC">
        <w:rPr>
          <w:rFonts w:ascii="Times New Roman" w:hAnsi="Times New Roman" w:cs="Times New Roman"/>
          <w:sz w:val="28"/>
          <w:szCs w:val="28"/>
        </w:rPr>
        <w:t xml:space="preserve">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EB56FC">
        <w:rPr>
          <w:rFonts w:ascii="Times New Roman" w:hAnsi="Times New Roman" w:cs="Times New Roman"/>
          <w:sz w:val="28"/>
          <w:szCs w:val="28"/>
        </w:rPr>
        <w:t>5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477CF0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6A39AD92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F47BC9">
        <w:rPr>
          <w:rFonts w:ascii="Times New Roman" w:hAnsi="Times New Roman" w:cs="Times New Roman"/>
          <w:sz w:val="28"/>
          <w:szCs w:val="28"/>
        </w:rPr>
        <w:t>27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F47BC9">
        <w:rPr>
          <w:rFonts w:ascii="Times New Roman" w:hAnsi="Times New Roman" w:cs="Times New Roman"/>
          <w:sz w:val="28"/>
          <w:szCs w:val="28"/>
        </w:rPr>
        <w:t>февраля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EB56FC">
        <w:rPr>
          <w:rFonts w:ascii="Times New Roman" w:hAnsi="Times New Roman" w:cs="Times New Roman"/>
          <w:sz w:val="28"/>
          <w:szCs w:val="28"/>
        </w:rPr>
        <w:t>5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58D6BEB8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F47BC9">
        <w:rPr>
          <w:rFonts w:ascii="Times New Roman" w:hAnsi="Times New Roman" w:cs="Times New Roman"/>
          <w:sz w:val="28"/>
          <w:szCs w:val="28"/>
        </w:rPr>
        <w:t>28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F47BC9">
        <w:rPr>
          <w:rFonts w:ascii="Times New Roman" w:hAnsi="Times New Roman" w:cs="Times New Roman"/>
          <w:sz w:val="28"/>
          <w:szCs w:val="28"/>
        </w:rPr>
        <w:t>февраля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EB56FC">
        <w:rPr>
          <w:rFonts w:ascii="Times New Roman" w:hAnsi="Times New Roman" w:cs="Times New Roman"/>
          <w:sz w:val="28"/>
          <w:szCs w:val="28"/>
        </w:rPr>
        <w:t>5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1B3EC60E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415F6EC9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0B367" w14:textId="77777777" w:rsidR="00F47BC9" w:rsidRDefault="00F47BC9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AEF26" w14:textId="77777777" w:rsidR="00F47BC9" w:rsidRDefault="00F47BC9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C1EBAC" w14:textId="77777777" w:rsidR="00F47BC9" w:rsidRDefault="00F47BC9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4C543AB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18841503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9. Рассмотрение заявок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5240BC49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10. Порядок проведения аукциона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1E26DB6D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11. Заключение договора по итогам проведения аукциона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lastRenderedPageBreak/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DE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25BF4"/>
    <w:rsid w:val="00032308"/>
    <w:rsid w:val="00032F44"/>
    <w:rsid w:val="000378A0"/>
    <w:rsid w:val="0005405F"/>
    <w:rsid w:val="00062137"/>
    <w:rsid w:val="00063DA9"/>
    <w:rsid w:val="00077CF6"/>
    <w:rsid w:val="00082C27"/>
    <w:rsid w:val="000862D2"/>
    <w:rsid w:val="000B4360"/>
    <w:rsid w:val="000D1883"/>
    <w:rsid w:val="000D221B"/>
    <w:rsid w:val="000D24E2"/>
    <w:rsid w:val="000D2DBE"/>
    <w:rsid w:val="000E0045"/>
    <w:rsid w:val="000E0850"/>
    <w:rsid w:val="000F3C85"/>
    <w:rsid w:val="000F6A4F"/>
    <w:rsid w:val="00101BB6"/>
    <w:rsid w:val="00102B61"/>
    <w:rsid w:val="0010798D"/>
    <w:rsid w:val="0011730F"/>
    <w:rsid w:val="00122DFE"/>
    <w:rsid w:val="00126B6A"/>
    <w:rsid w:val="00134979"/>
    <w:rsid w:val="001462D6"/>
    <w:rsid w:val="00147FD3"/>
    <w:rsid w:val="00150BCB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D38C2"/>
    <w:rsid w:val="001E5BA8"/>
    <w:rsid w:val="001E7E95"/>
    <w:rsid w:val="001F7F12"/>
    <w:rsid w:val="00206E0D"/>
    <w:rsid w:val="0021701E"/>
    <w:rsid w:val="0022239C"/>
    <w:rsid w:val="0022721E"/>
    <w:rsid w:val="00244823"/>
    <w:rsid w:val="0024582F"/>
    <w:rsid w:val="00247F5F"/>
    <w:rsid w:val="0025690D"/>
    <w:rsid w:val="00260082"/>
    <w:rsid w:val="002644AA"/>
    <w:rsid w:val="00290039"/>
    <w:rsid w:val="002A2A67"/>
    <w:rsid w:val="002A57E7"/>
    <w:rsid w:val="002C4EF1"/>
    <w:rsid w:val="002C60E7"/>
    <w:rsid w:val="002D0D4A"/>
    <w:rsid w:val="002F3D12"/>
    <w:rsid w:val="003012C4"/>
    <w:rsid w:val="003040AD"/>
    <w:rsid w:val="00306B9A"/>
    <w:rsid w:val="00317DA8"/>
    <w:rsid w:val="00321FB7"/>
    <w:rsid w:val="00327EAB"/>
    <w:rsid w:val="00342C42"/>
    <w:rsid w:val="00344F6E"/>
    <w:rsid w:val="00380983"/>
    <w:rsid w:val="00383499"/>
    <w:rsid w:val="00385663"/>
    <w:rsid w:val="003963B7"/>
    <w:rsid w:val="003A63F2"/>
    <w:rsid w:val="003B5888"/>
    <w:rsid w:val="003D2A18"/>
    <w:rsid w:val="003D3D3D"/>
    <w:rsid w:val="003E44F1"/>
    <w:rsid w:val="003F0225"/>
    <w:rsid w:val="003F4ACC"/>
    <w:rsid w:val="00401F96"/>
    <w:rsid w:val="00403C75"/>
    <w:rsid w:val="00415700"/>
    <w:rsid w:val="004262CF"/>
    <w:rsid w:val="00436285"/>
    <w:rsid w:val="00442A07"/>
    <w:rsid w:val="00453A70"/>
    <w:rsid w:val="004543A3"/>
    <w:rsid w:val="00462D40"/>
    <w:rsid w:val="004704BB"/>
    <w:rsid w:val="00477CF0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1CB4"/>
    <w:rsid w:val="0050535F"/>
    <w:rsid w:val="0051137F"/>
    <w:rsid w:val="00535278"/>
    <w:rsid w:val="00540516"/>
    <w:rsid w:val="00581C9F"/>
    <w:rsid w:val="005C056E"/>
    <w:rsid w:val="005D731B"/>
    <w:rsid w:val="005E4EF5"/>
    <w:rsid w:val="006001D2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6F256F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2957"/>
    <w:rsid w:val="007D300E"/>
    <w:rsid w:val="007D56C6"/>
    <w:rsid w:val="007E0465"/>
    <w:rsid w:val="007F153F"/>
    <w:rsid w:val="007F260A"/>
    <w:rsid w:val="007F5C33"/>
    <w:rsid w:val="007F64AD"/>
    <w:rsid w:val="00800360"/>
    <w:rsid w:val="00801C56"/>
    <w:rsid w:val="008042B1"/>
    <w:rsid w:val="00807B3D"/>
    <w:rsid w:val="008240F7"/>
    <w:rsid w:val="008255EF"/>
    <w:rsid w:val="00831555"/>
    <w:rsid w:val="00843201"/>
    <w:rsid w:val="0084569D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F2214"/>
    <w:rsid w:val="008F231C"/>
    <w:rsid w:val="00905922"/>
    <w:rsid w:val="0094481C"/>
    <w:rsid w:val="00946C9A"/>
    <w:rsid w:val="0095188A"/>
    <w:rsid w:val="00960C3F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9F681B"/>
    <w:rsid w:val="00A05EEB"/>
    <w:rsid w:val="00A11725"/>
    <w:rsid w:val="00A1180A"/>
    <w:rsid w:val="00A237CE"/>
    <w:rsid w:val="00A24AF2"/>
    <w:rsid w:val="00A27D76"/>
    <w:rsid w:val="00A56EE7"/>
    <w:rsid w:val="00A6354F"/>
    <w:rsid w:val="00A63DA9"/>
    <w:rsid w:val="00A64117"/>
    <w:rsid w:val="00A646B4"/>
    <w:rsid w:val="00A66462"/>
    <w:rsid w:val="00A8239C"/>
    <w:rsid w:val="00A97B8B"/>
    <w:rsid w:val="00AA385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077C9"/>
    <w:rsid w:val="00B12CF1"/>
    <w:rsid w:val="00B1347F"/>
    <w:rsid w:val="00B14E9B"/>
    <w:rsid w:val="00B216B1"/>
    <w:rsid w:val="00B32E35"/>
    <w:rsid w:val="00B346E2"/>
    <w:rsid w:val="00B4672F"/>
    <w:rsid w:val="00B54477"/>
    <w:rsid w:val="00B71233"/>
    <w:rsid w:val="00B716C3"/>
    <w:rsid w:val="00B72222"/>
    <w:rsid w:val="00B74AEA"/>
    <w:rsid w:val="00B808C2"/>
    <w:rsid w:val="00B813FD"/>
    <w:rsid w:val="00B82B89"/>
    <w:rsid w:val="00B83E30"/>
    <w:rsid w:val="00B933EA"/>
    <w:rsid w:val="00BA41A9"/>
    <w:rsid w:val="00BB1B04"/>
    <w:rsid w:val="00BB34B2"/>
    <w:rsid w:val="00BC51C2"/>
    <w:rsid w:val="00BD4022"/>
    <w:rsid w:val="00BD56E4"/>
    <w:rsid w:val="00BE2AC3"/>
    <w:rsid w:val="00BF4215"/>
    <w:rsid w:val="00C03FEB"/>
    <w:rsid w:val="00C044E7"/>
    <w:rsid w:val="00C07BA9"/>
    <w:rsid w:val="00C15A5A"/>
    <w:rsid w:val="00C36A35"/>
    <w:rsid w:val="00C45A21"/>
    <w:rsid w:val="00C528E2"/>
    <w:rsid w:val="00C553F3"/>
    <w:rsid w:val="00C74EEC"/>
    <w:rsid w:val="00C87490"/>
    <w:rsid w:val="00C97D25"/>
    <w:rsid w:val="00CA20D0"/>
    <w:rsid w:val="00CA74F5"/>
    <w:rsid w:val="00CB07DF"/>
    <w:rsid w:val="00CC00F6"/>
    <w:rsid w:val="00CD510D"/>
    <w:rsid w:val="00D2021C"/>
    <w:rsid w:val="00D34433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DF4E8D"/>
    <w:rsid w:val="00E000B3"/>
    <w:rsid w:val="00E0479E"/>
    <w:rsid w:val="00E15F82"/>
    <w:rsid w:val="00E17D57"/>
    <w:rsid w:val="00E3081B"/>
    <w:rsid w:val="00E33A74"/>
    <w:rsid w:val="00E36E93"/>
    <w:rsid w:val="00E443B4"/>
    <w:rsid w:val="00E467C6"/>
    <w:rsid w:val="00E70062"/>
    <w:rsid w:val="00E808A3"/>
    <w:rsid w:val="00E90E8F"/>
    <w:rsid w:val="00E96EEC"/>
    <w:rsid w:val="00E9739A"/>
    <w:rsid w:val="00EB56FC"/>
    <w:rsid w:val="00EB7B22"/>
    <w:rsid w:val="00EE05DB"/>
    <w:rsid w:val="00EE223D"/>
    <w:rsid w:val="00EE4033"/>
    <w:rsid w:val="00EF4044"/>
    <w:rsid w:val="00EF6C69"/>
    <w:rsid w:val="00F153E9"/>
    <w:rsid w:val="00F2185A"/>
    <w:rsid w:val="00F227EA"/>
    <w:rsid w:val="00F34892"/>
    <w:rsid w:val="00F47BC9"/>
    <w:rsid w:val="00F50A44"/>
    <w:rsid w:val="00F560E2"/>
    <w:rsid w:val="00F5617A"/>
    <w:rsid w:val="00F86066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mokru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9655-1F4F-43E4-A32B-F9590C5E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21</cp:revision>
  <cp:lastPrinted>2024-01-29T10:35:00Z</cp:lastPrinted>
  <dcterms:created xsi:type="dcterms:W3CDTF">2024-12-04T03:08:00Z</dcterms:created>
  <dcterms:modified xsi:type="dcterms:W3CDTF">2025-01-20T09:58:00Z</dcterms:modified>
</cp:coreProperties>
</file>